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B03BEE" w14:textId="77777777" w:rsidR="005A2E11" w:rsidRDefault="00000000">
      <w:pPr>
        <w:pStyle w:val="Title"/>
        <w:jc w:val="center"/>
      </w:pPr>
      <w:r>
        <w:t>Allergy, Intolerance and Anaphylaxis Policy</w:t>
      </w:r>
    </w:p>
    <w:p w14:paraId="3CF7E2D1" w14:textId="77777777" w:rsidR="005A2E11"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5A2E11" w14:paraId="0BFB3780" w14:textId="77777777">
        <w:trPr>
          <w:jc w:val="center"/>
        </w:trPr>
        <w:tc>
          <w:tcPr>
            <w:tcW w:w="2520" w:type="dxa"/>
            <w:shd w:val="clear" w:color="auto" w:fill="EDEDED"/>
            <w:vAlign w:val="center"/>
          </w:tcPr>
          <w:p w14:paraId="0CC53F1A" w14:textId="77777777" w:rsidR="005A2E11" w:rsidRDefault="00000000">
            <w:r>
              <w:rPr>
                <w:b/>
              </w:rPr>
              <w:t>Policy owner</w:t>
            </w:r>
          </w:p>
        </w:tc>
        <w:tc>
          <w:tcPr>
            <w:tcW w:w="7992" w:type="dxa"/>
            <w:vAlign w:val="center"/>
          </w:tcPr>
          <w:p w14:paraId="06126D64" w14:textId="77777777" w:rsidR="005A2E11" w:rsidRDefault="00000000">
            <w:r>
              <w:t>Registered Provider / Responsible Individual</w:t>
            </w:r>
          </w:p>
        </w:tc>
      </w:tr>
      <w:tr w:rsidR="005A2E11" w14:paraId="12E438CA" w14:textId="77777777">
        <w:trPr>
          <w:jc w:val="center"/>
        </w:trPr>
        <w:tc>
          <w:tcPr>
            <w:tcW w:w="2520" w:type="dxa"/>
            <w:shd w:val="clear" w:color="auto" w:fill="EDEDED"/>
            <w:vAlign w:val="center"/>
          </w:tcPr>
          <w:p w14:paraId="3F8CD662" w14:textId="77777777" w:rsidR="005A2E11" w:rsidRDefault="00000000">
            <w:r>
              <w:rPr>
                <w:b/>
              </w:rPr>
              <w:t>Effective date</w:t>
            </w:r>
          </w:p>
        </w:tc>
        <w:tc>
          <w:tcPr>
            <w:tcW w:w="7992" w:type="dxa"/>
            <w:vAlign w:val="center"/>
          </w:tcPr>
          <w:p w14:paraId="19093FE0" w14:textId="77777777" w:rsidR="005A2E11" w:rsidRDefault="00000000">
            <w:r>
              <w:t>1 September 2026</w:t>
            </w:r>
          </w:p>
        </w:tc>
      </w:tr>
      <w:tr w:rsidR="005A2E11" w14:paraId="6DD120AE" w14:textId="77777777">
        <w:trPr>
          <w:jc w:val="center"/>
        </w:trPr>
        <w:tc>
          <w:tcPr>
            <w:tcW w:w="2520" w:type="dxa"/>
            <w:shd w:val="clear" w:color="auto" w:fill="EDEDED"/>
            <w:vAlign w:val="center"/>
          </w:tcPr>
          <w:p w14:paraId="58634AA3" w14:textId="77777777" w:rsidR="005A2E11" w:rsidRDefault="00000000">
            <w:r>
              <w:rPr>
                <w:b/>
              </w:rPr>
              <w:t>Review</w:t>
            </w:r>
          </w:p>
        </w:tc>
        <w:tc>
          <w:tcPr>
            <w:tcW w:w="7992" w:type="dxa"/>
            <w:vAlign w:val="center"/>
          </w:tcPr>
          <w:p w14:paraId="74334453" w14:textId="77777777" w:rsidR="005A2E11" w:rsidRDefault="00000000">
            <w:r>
              <w:t>August 2027, or sooner following a material legal/regulatory change, significant incident or change to the service</w:t>
            </w:r>
          </w:p>
        </w:tc>
      </w:tr>
      <w:tr w:rsidR="005A2E11" w14:paraId="79128F4F" w14:textId="77777777">
        <w:trPr>
          <w:jc w:val="center"/>
        </w:trPr>
        <w:tc>
          <w:tcPr>
            <w:tcW w:w="2520" w:type="dxa"/>
            <w:shd w:val="clear" w:color="auto" w:fill="EDEDED"/>
            <w:vAlign w:val="center"/>
          </w:tcPr>
          <w:p w14:paraId="0ADFAF12" w14:textId="77777777" w:rsidR="005A2E11" w:rsidRDefault="00000000">
            <w:r>
              <w:rPr>
                <w:b/>
              </w:rPr>
              <w:t>Applies to</w:t>
            </w:r>
          </w:p>
        </w:tc>
        <w:tc>
          <w:tcPr>
            <w:tcW w:w="7992" w:type="dxa"/>
            <w:vAlign w:val="center"/>
          </w:tcPr>
          <w:p w14:paraId="424C02C1" w14:textId="77777777" w:rsidR="005A2E11" w:rsidRDefault="00000000">
            <w:r>
              <w:t>Magor and The Dell (CIW-registered holiday/out-of-school childcare provision)</w:t>
            </w:r>
          </w:p>
        </w:tc>
      </w:tr>
      <w:tr w:rsidR="005A2E11" w14:paraId="31BB74CE" w14:textId="77777777">
        <w:trPr>
          <w:jc w:val="center"/>
        </w:trPr>
        <w:tc>
          <w:tcPr>
            <w:tcW w:w="2520" w:type="dxa"/>
            <w:shd w:val="clear" w:color="auto" w:fill="EDEDED"/>
            <w:vAlign w:val="center"/>
          </w:tcPr>
          <w:p w14:paraId="5810CACD" w14:textId="77777777" w:rsidR="005A2E11" w:rsidRDefault="00000000">
            <w:r>
              <w:rPr>
                <w:b/>
              </w:rPr>
              <w:t>Principal NMS / basis</w:t>
            </w:r>
          </w:p>
        </w:tc>
        <w:tc>
          <w:tcPr>
            <w:tcW w:w="7992" w:type="dxa"/>
            <w:vAlign w:val="center"/>
          </w:tcPr>
          <w:p w14:paraId="1740F31E" w14:textId="77777777" w:rsidR="005A2E11" w:rsidRDefault="00000000">
            <w:r>
              <w:t>NMS 10, 11 and 12; Regulations 21, 24 and 26</w:t>
            </w:r>
          </w:p>
        </w:tc>
      </w:tr>
    </w:tbl>
    <w:p w14:paraId="7F7CD16F" w14:textId="77777777" w:rsidR="005A2E11"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727B7DEA" w14:textId="77777777" w:rsidR="005A2E11" w:rsidRDefault="00000000">
      <w:pPr>
        <w:pStyle w:val="Heading1"/>
      </w:pPr>
      <w:r>
        <w:t>Commitment and nut-free arrangements</w:t>
      </w:r>
    </w:p>
    <w:p w14:paraId="069A7E1C" w14:textId="77777777" w:rsidR="005A2E11" w:rsidRDefault="00000000">
      <w:r>
        <w:t>The Lil Rascals works with families to reduce allergy risk and respond safely to reactions. Magor and The Dell operate as nut-free settings: families, staff, visitors and contractors are asked not to bring nut-containing products. If a known nut-containing item is identified in a child’s food, it will be removed from use, stored safely away from children where practicable and returned to the parent/carer at collection.</w:t>
      </w:r>
    </w:p>
    <w:p w14:paraId="6FE4B4A3" w14:textId="77777777" w:rsidR="005A2E11" w:rsidRDefault="00000000">
      <w:pPr>
        <w:pStyle w:val="Heading1"/>
      </w:pPr>
      <w:r>
        <w:t>Before attendance</w:t>
      </w:r>
    </w:p>
    <w:p w14:paraId="33F2C175" w14:textId="77777777" w:rsidR="005A2E11" w:rsidRDefault="00000000">
      <w:pPr>
        <w:pStyle w:val="ListBullet"/>
        <w:spacing w:after="40"/>
      </w:pPr>
      <w:r>
        <w:t>Parents/carers must disclose diagnosed or suspected allergies/intolerances and keep MagicBooking information current.</w:t>
      </w:r>
    </w:p>
    <w:p w14:paraId="02F48318" w14:textId="77777777" w:rsidR="005A2E11" w:rsidRDefault="00000000">
      <w:pPr>
        <w:pStyle w:val="ListBullet"/>
        <w:spacing w:after="40"/>
      </w:pPr>
      <w:r>
        <w:t>Where there is a risk of a significant reaction, an individual allergy/anaphylaxis action plan and risk assessment is agreed before attendance. A recognised healthcare action plan is used where available.</w:t>
      </w:r>
    </w:p>
    <w:p w14:paraId="7955DE2C" w14:textId="77777777" w:rsidR="005A2E11" w:rsidRDefault="00000000">
      <w:pPr>
        <w:pStyle w:val="ListBullet"/>
        <w:spacing w:after="40"/>
      </w:pPr>
      <w:r>
        <w:t>Required emergency medication must be supplied in-date, labelled for the child and in its original packaging/container as applicable. At both Magor and The Dell it is stored in the staff room, securely and away from children, but positioned so authorised staff can access it immediately in an emergency. The setting may decline attendance where essential emergency medication is unavailable and the risk cannot be safely managed.</w:t>
      </w:r>
    </w:p>
    <w:p w14:paraId="6E392F80" w14:textId="77777777" w:rsidR="005A2E11" w:rsidRDefault="00000000">
      <w:pPr>
        <w:pStyle w:val="ListBullet"/>
        <w:spacing w:after="40"/>
      </w:pPr>
      <w:r>
        <w:t>Staff who may need to administer an adrenaline auto-injector or other specialist medication receive appropriate child-specific/clinical guidance and practical training.</w:t>
      </w:r>
    </w:p>
    <w:p w14:paraId="22E03976" w14:textId="77777777" w:rsidR="005A2E11" w:rsidRDefault="00000000">
      <w:pPr>
        <w:pStyle w:val="Heading1"/>
      </w:pPr>
      <w:r>
        <w:t>Reducing exposure</w:t>
      </w:r>
    </w:p>
    <w:p w14:paraId="0F09365E" w14:textId="77777777" w:rsidR="005A2E11" w:rsidRDefault="00000000">
      <w:pPr>
        <w:pStyle w:val="ListBullet"/>
        <w:spacing w:after="40"/>
      </w:pPr>
      <w:r>
        <w:t>Allergy information is available to relevant staff in a way that protects confidentiality while enabling safe care.</w:t>
      </w:r>
    </w:p>
    <w:p w14:paraId="6F776719" w14:textId="77777777" w:rsidR="005A2E11" w:rsidRDefault="00000000">
      <w:pPr>
        <w:pStyle w:val="ListBullet"/>
        <w:spacing w:after="40"/>
      </w:pPr>
      <w:r>
        <w:t>Packed lunches/snacks are supervised and sharing/swapping food is discouraged where this creates allergy risk.</w:t>
      </w:r>
    </w:p>
    <w:p w14:paraId="52BB17B4" w14:textId="77777777" w:rsidR="005A2E11" w:rsidRDefault="00000000">
      <w:pPr>
        <w:pStyle w:val="ListBullet"/>
        <w:spacing w:after="40"/>
      </w:pPr>
      <w:r>
        <w:t>Where the club provides or prepares any food, ingredients, dietary requirements, cross-contact risks, cleaning, storage and serving utensils are managed safely.</w:t>
      </w:r>
    </w:p>
    <w:p w14:paraId="6E892456" w14:textId="77777777" w:rsidR="005A2E11" w:rsidRDefault="00000000">
      <w:pPr>
        <w:pStyle w:val="ListBullet"/>
        <w:spacing w:after="40"/>
      </w:pPr>
      <w:r>
        <w:t>Activities involving food, cosmetics, craft materials, animals or other potential allergens are risk assessed where relevant.</w:t>
      </w:r>
    </w:p>
    <w:p w14:paraId="1E43F02E" w14:textId="77777777" w:rsidR="005A2E11" w:rsidRDefault="00000000">
      <w:pPr>
        <w:pStyle w:val="ListBullet"/>
        <w:spacing w:after="40"/>
      </w:pPr>
      <w:r>
        <w:t>Handwashing and appropriate surface cleaning are used to reduce residue; hand sanitiser is not a substitute for handwashing when removing food allergens.</w:t>
      </w:r>
    </w:p>
    <w:p w14:paraId="2F61CEA2" w14:textId="77777777" w:rsidR="005A2E11" w:rsidRDefault="00000000">
      <w:pPr>
        <w:pStyle w:val="Heading1"/>
      </w:pPr>
      <w:r>
        <w:t>Suspected allergic reaction</w:t>
      </w:r>
    </w:p>
    <w:p w14:paraId="5640DFFC" w14:textId="77777777" w:rsidR="005A2E11" w:rsidRDefault="00000000">
      <w:pPr>
        <w:pStyle w:val="ListNumber"/>
        <w:spacing w:after="40"/>
      </w:pPr>
      <w:r>
        <w:t>Stay with the child, call for a trained colleague/first aider and follow the child’s emergency action plan.</w:t>
      </w:r>
    </w:p>
    <w:p w14:paraId="11DDBD29" w14:textId="77777777" w:rsidR="005A2E11" w:rsidRDefault="00000000">
      <w:pPr>
        <w:pStyle w:val="ListNumber"/>
        <w:spacing w:after="40"/>
      </w:pPr>
      <w:r>
        <w:t>For suspected anaphylaxis, administer the child’s adrenaline auto-injector without delay if indicated by the plan/training and call 999, stating “anaphylaxis”. A second dose may be given in accordance with the child’s plan/device guidance if symptoms persist and a second device is available.</w:t>
      </w:r>
    </w:p>
    <w:p w14:paraId="02AE95FB" w14:textId="77777777" w:rsidR="005A2E11" w:rsidRDefault="00000000">
      <w:pPr>
        <w:pStyle w:val="ListNumber"/>
        <w:spacing w:after="40"/>
      </w:pPr>
      <w:r>
        <w:lastRenderedPageBreak/>
        <w:t>Contact the parent/carer as soon as emergency action is underway. The child must be medically assessed after anaphylaxis even if they appear to improve.</w:t>
      </w:r>
    </w:p>
    <w:p w14:paraId="7EBC679E" w14:textId="77777777" w:rsidR="005A2E11" w:rsidRDefault="00000000">
      <w:pPr>
        <w:pStyle w:val="ListNumber"/>
        <w:spacing w:after="40"/>
      </w:pPr>
      <w:r>
        <w:t>Record the event and medication administered. Review the individual plan and setting controls before the child next attends.</w:t>
      </w:r>
    </w:p>
    <w:p w14:paraId="1CE00367" w14:textId="77777777" w:rsidR="005A2E11" w:rsidRDefault="00000000">
      <w:r>
        <w:t>CIW is notified immediately where the reaction results in a serious injury/illness or is otherwise a significant event meeting NMS 21 / Regulation 31 Schedule 4.</w:t>
      </w:r>
    </w:p>
    <w:p w14:paraId="58EF3925" w14:textId="77777777" w:rsidR="005A2E11" w:rsidRDefault="00000000">
      <w:pPr>
        <w:pStyle w:val="Heading2"/>
      </w:pPr>
      <w:r>
        <w:t>Regulatory and guidance references</w:t>
      </w:r>
    </w:p>
    <w:p w14:paraId="6C701927" w14:textId="77777777" w:rsidR="005A2E11" w:rsidRDefault="00000000">
      <w:pPr>
        <w:pStyle w:val="ListBullet"/>
        <w:spacing w:after="40"/>
      </w:pPr>
      <w:r>
        <w:t>NMS Standard 10: Healthcare; Standard 11: Medication; Standard 12: Food and drink.</w:t>
      </w:r>
    </w:p>
    <w:p w14:paraId="2381EFC5" w14:textId="77777777" w:rsidR="005A2E11" w:rsidRDefault="00000000">
      <w:pPr>
        <w:pStyle w:val="ListBullet"/>
        <w:spacing w:after="40"/>
      </w:pPr>
      <w:r>
        <w:t>Public Health Wales and NHS Wales guidance on allergy/anaphylaxis, as applicable.</w:t>
      </w:r>
    </w:p>
    <w:p w14:paraId="4AD8231F" w14:textId="77777777" w:rsidR="005A2E11" w:rsidRDefault="00000000">
      <w:pPr>
        <w:pStyle w:val="Heading2"/>
      </w:pPr>
      <w:r>
        <w:t>Approval</w:t>
      </w:r>
    </w:p>
    <w:p w14:paraId="60C82BD5" w14:textId="2598B3C4" w:rsidR="005A2E11" w:rsidRPr="00693680" w:rsidRDefault="00000000">
      <w:pPr>
        <w:spacing w:after="40"/>
        <w:rPr>
          <w:b/>
          <w:bCs/>
        </w:rPr>
      </w:pPr>
      <w:r>
        <w:rPr>
          <w:b/>
        </w:rPr>
        <w:t xml:space="preserve">Approved by: </w:t>
      </w:r>
      <w:r w:rsidR="00693680">
        <w:rPr>
          <w:b/>
          <w:bCs/>
        </w:rPr>
        <w:t>Craig Lambourne</w:t>
      </w:r>
      <w:r>
        <w:t xml:space="preserve">    </w:t>
      </w:r>
      <w:r>
        <w:rPr>
          <w:b/>
        </w:rPr>
        <w:t xml:space="preserve">Date: </w:t>
      </w:r>
      <w:r w:rsidR="00693680">
        <w:rPr>
          <w:b/>
          <w:bCs/>
        </w:rPr>
        <w:t>10/08/26</w:t>
      </w:r>
    </w:p>
    <w:sectPr w:rsidR="005A2E11" w:rsidRPr="00693680"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FE537D" w14:textId="77777777" w:rsidR="004A73D7" w:rsidRDefault="004A73D7">
      <w:pPr>
        <w:spacing w:after="0" w:line="240" w:lineRule="auto"/>
      </w:pPr>
      <w:r>
        <w:separator/>
      </w:r>
    </w:p>
  </w:endnote>
  <w:endnote w:type="continuationSeparator" w:id="0">
    <w:p w14:paraId="147901C7" w14:textId="77777777" w:rsidR="004A73D7" w:rsidRDefault="004A7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D49444" w14:textId="77777777" w:rsidR="005A2E11" w:rsidRDefault="00000000">
    <w:pPr>
      <w:pStyle w:val="PolicyNote"/>
    </w:pPr>
    <w:r>
      <w:t>The Lil Rascals Ltd | Allergy, Intolerance and Anaphylaxis Policy | Effective 1 September 2026</w:t>
    </w:r>
  </w:p>
  <w:p w14:paraId="4948E6F8" w14:textId="02CBE2BA" w:rsidR="005A2E11" w:rsidRDefault="00000000">
    <w:pPr>
      <w:jc w:val="right"/>
    </w:pPr>
    <w:r>
      <w:t xml:space="preserve">Page </w:t>
    </w:r>
    <w:r>
      <w:fldChar w:fldCharType="begin"/>
    </w:r>
    <w:r>
      <w:instrText>PAGE</w:instrText>
    </w:r>
    <w:r>
      <w:fldChar w:fldCharType="separate"/>
    </w:r>
    <w:r w:rsidR="006936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8ED61" w14:textId="77777777" w:rsidR="004A73D7" w:rsidRDefault="004A73D7">
      <w:pPr>
        <w:spacing w:after="0" w:line="240" w:lineRule="auto"/>
      </w:pPr>
      <w:r>
        <w:separator/>
      </w:r>
    </w:p>
  </w:footnote>
  <w:footnote w:type="continuationSeparator" w:id="0">
    <w:p w14:paraId="2E6FDCF0" w14:textId="77777777" w:rsidR="004A73D7" w:rsidRDefault="004A7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4493633">
    <w:abstractNumId w:val="8"/>
  </w:num>
  <w:num w:numId="2" w16cid:durableId="39787686">
    <w:abstractNumId w:val="6"/>
  </w:num>
  <w:num w:numId="3" w16cid:durableId="1810200186">
    <w:abstractNumId w:val="5"/>
  </w:num>
  <w:num w:numId="4" w16cid:durableId="1650478850">
    <w:abstractNumId w:val="4"/>
  </w:num>
  <w:num w:numId="5" w16cid:durableId="870611147">
    <w:abstractNumId w:val="7"/>
  </w:num>
  <w:num w:numId="6" w16cid:durableId="987056618">
    <w:abstractNumId w:val="3"/>
  </w:num>
  <w:num w:numId="7" w16cid:durableId="496577834">
    <w:abstractNumId w:val="2"/>
  </w:num>
  <w:num w:numId="8" w16cid:durableId="202255069">
    <w:abstractNumId w:val="1"/>
  </w:num>
  <w:num w:numId="9" w16cid:durableId="9202616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326F90"/>
    <w:rsid w:val="004A73D7"/>
    <w:rsid w:val="005A2E11"/>
    <w:rsid w:val="0069368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2026-08-12T15:22:00Z</dcterms:modified>
  <cp:category/>
</cp:coreProperties>
</file>