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3577B7"/>
          <w:sz w:val="32"/>
        </w:rPr>
        <w:t>THE LIL RASCALS</w:t>
      </w:r>
    </w:p>
    <w:p>
      <w:pPr>
        <w:spacing w:after="80"/>
        <w:jc w:val="center"/>
        <w:pBdr>
          <w:bottom w:val="single" w:sz="12" w:space="2" w:color="3577B7"/>
        </w:pBdr>
      </w:pPr>
      <w:r>
        <w:rPr>
          <w:b/>
          <w:color w:val="193A63"/>
          <w:sz w:val="40"/>
        </w:rPr>
        <w:t>Play Policy</w:t>
      </w:r>
    </w:p>
    <w:p>
      <w:pPr>
        <w:spacing w:after="140"/>
        <w:jc w:val="center"/>
      </w:pPr>
      <w:r>
        <w:rPr>
          <w:b/>
          <w:color w:val="193A63"/>
          <w:sz w:val="21"/>
        </w:rPr>
        <w:t>Company-wide policy for Magor Primary, The Dell Primary and Watermore Primary settings</w:t>
      </w:r>
    </w:p>
    <w:tbl>
      <w:tblPr>
        <w:tblW w:type="auto" w:w="0"/>
        <w:jc w:val="center"/>
        <w:tblLayout w:type="fixed"/>
        <w:tblLook w:firstColumn="1" w:firstRow="1" w:lastColumn="0" w:lastRow="0" w:noHBand="0" w:noVBand="1" w:val="04A0"/>
      </w:tblPr>
      <w:tblGrid>
        <w:gridCol w:w="2570"/>
        <w:gridCol w:w="2570"/>
        <w:gridCol w:w="2570"/>
        <w:gridCol w:w="2570"/>
      </w:tblGrid>
      <w:tr>
        <w:tc>
          <w:tcPr>
            <w:tcW w:type="dxa" w:w="2570"/>
            <w:tcMar>
              <w:top w:w="85" w:type="dxa"/>
              <w:start w:w="85" w:type="dxa"/>
              <w:bottom w:w="85" w:type="dxa"/>
              <w:end w:w="85" w:type="dxa"/>
            </w:tcMar>
            <w:shd w:fill="D9E9F5"/>
          </w:tcPr>
          <w:p>
            <w:pPr>
              <w:spacing w:after="0"/>
            </w:pPr>
            <w:r>
              <w:rPr>
                <w:b/>
                <w:sz w:val="17"/>
              </w:rPr>
              <w:t>Policy version</w:t>
            </w:r>
          </w:p>
        </w:tc>
        <w:tc>
          <w:tcPr>
            <w:tcW w:type="dxa" w:w="2570"/>
            <w:tcMar>
              <w:top w:w="85" w:type="dxa"/>
              <w:start w:w="85" w:type="dxa"/>
              <w:bottom w:w="85" w:type="dxa"/>
              <w:end w:w="85" w:type="dxa"/>
            </w:tcMar>
          </w:tcPr>
          <w:p>
            <w:pPr>
              <w:spacing w:after="0"/>
            </w:pPr>
            <w:r>
              <w:rPr>
                <w:sz w:val="17"/>
              </w:rPr>
              <w:t>September 2026</w:t>
            </w:r>
          </w:p>
        </w:tc>
        <w:tc>
          <w:tcPr>
            <w:tcW w:type="dxa" w:w="2570"/>
            <w:tcMar>
              <w:top w:w="85" w:type="dxa"/>
              <w:start w:w="85" w:type="dxa"/>
              <w:bottom w:w="85" w:type="dxa"/>
              <w:end w:w="85" w:type="dxa"/>
            </w:tcMar>
            <w:shd w:fill="D9E9F5"/>
          </w:tcPr>
          <w:p>
            <w:pPr>
              <w:spacing w:after="0"/>
            </w:pPr>
            <w:r>
              <w:rPr>
                <w:b/>
                <w:sz w:val="17"/>
              </w:rPr>
              <w:t>Policy owner</w:t>
            </w:r>
          </w:p>
        </w:tc>
        <w:tc>
          <w:tcPr>
            <w:tcW w:type="dxa" w:w="2570"/>
            <w:tcMar>
              <w:top w:w="85" w:type="dxa"/>
              <w:start w:w="85" w:type="dxa"/>
              <w:bottom w:w="85" w:type="dxa"/>
              <w:end w:w="85" w:type="dxa"/>
            </w:tcMar>
          </w:tcPr>
          <w:p>
            <w:pPr>
              <w:spacing w:after="0"/>
            </w:pPr>
            <w:r>
              <w:rPr>
                <w:sz w:val="17"/>
              </w:rPr>
              <w:t>Directors / Responsible Individuals</w:t>
            </w:r>
          </w:p>
        </w:tc>
      </w:tr>
      <w:tr>
        <w:tc>
          <w:tcPr>
            <w:tcW w:type="dxa" w:w="2570"/>
            <w:tcMar>
              <w:top w:w="85" w:type="dxa"/>
              <w:start w:w="85" w:type="dxa"/>
              <w:bottom w:w="85" w:type="dxa"/>
              <w:end w:w="85" w:type="dxa"/>
            </w:tcMar>
            <w:shd w:fill="D9E9F5"/>
          </w:tcPr>
          <w:p>
            <w:pPr>
              <w:spacing w:after="0"/>
            </w:pPr>
            <w:r>
              <w:rPr>
                <w:b/>
                <w:sz w:val="17"/>
              </w:rPr>
              <w:t>Prepared</w:t>
            </w:r>
          </w:p>
        </w:tc>
        <w:tc>
          <w:tcPr>
            <w:tcW w:type="dxa" w:w="2570"/>
            <w:tcMar>
              <w:top w:w="85" w:type="dxa"/>
              <w:start w:w="85" w:type="dxa"/>
              <w:bottom w:w="85" w:type="dxa"/>
              <w:end w:w="85" w:type="dxa"/>
            </w:tcMar>
          </w:tcPr>
          <w:p>
            <w:pPr>
              <w:spacing w:after="0"/>
            </w:pPr>
            <w:r>
              <w:rPr>
                <w:sz w:val="17"/>
              </w:rPr>
              <w:t>August 2026</w:t>
            </w:r>
          </w:p>
        </w:tc>
        <w:tc>
          <w:tcPr>
            <w:tcW w:type="dxa" w:w="2570"/>
            <w:tcMar>
              <w:top w:w="85" w:type="dxa"/>
              <w:start w:w="85" w:type="dxa"/>
              <w:bottom w:w="85" w:type="dxa"/>
              <w:end w:w="85" w:type="dxa"/>
            </w:tcMar>
            <w:shd w:fill="D9E9F5"/>
          </w:tcPr>
          <w:p>
            <w:pPr>
              <w:spacing w:after="0"/>
            </w:pPr>
            <w:r>
              <w:rPr>
                <w:b/>
                <w:sz w:val="17"/>
              </w:rPr>
              <w:t>Effective date</w:t>
            </w:r>
          </w:p>
        </w:tc>
        <w:tc>
          <w:tcPr>
            <w:tcW w:type="dxa" w:w="2570"/>
            <w:tcMar>
              <w:top w:w="85" w:type="dxa"/>
              <w:start w:w="85" w:type="dxa"/>
              <w:bottom w:w="85" w:type="dxa"/>
              <w:end w:w="85" w:type="dxa"/>
            </w:tcMar>
          </w:tcPr>
          <w:p>
            <w:pPr>
              <w:spacing w:after="0"/>
            </w:pPr>
            <w:r>
              <w:rPr>
                <w:sz w:val="17"/>
              </w:rPr>
              <w:t>1 September 2026</w:t>
            </w:r>
          </w:p>
        </w:tc>
      </w:tr>
      <w:tr>
        <w:tc>
          <w:tcPr>
            <w:tcW w:type="dxa" w:w="2570"/>
            <w:tcMar>
              <w:top w:w="85" w:type="dxa"/>
              <w:start w:w="85" w:type="dxa"/>
              <w:bottom w:w="85" w:type="dxa"/>
              <w:end w:w="85" w:type="dxa"/>
            </w:tcMar>
            <w:shd w:fill="D9E9F5"/>
          </w:tcPr>
          <w:p>
            <w:pPr>
              <w:spacing w:after="0"/>
            </w:pPr>
            <w:r>
              <w:rPr>
                <w:b/>
                <w:sz w:val="17"/>
              </w:rPr>
              <w:t>Applies to</w:t>
            </w:r>
          </w:p>
        </w:tc>
        <w:tc>
          <w:tcPr>
            <w:tcW w:type="dxa" w:w="2570"/>
            <w:tcMar>
              <w:top w:w="85" w:type="dxa"/>
              <w:start w:w="85" w:type="dxa"/>
              <w:bottom w:w="85" w:type="dxa"/>
              <w:end w:w="85" w:type="dxa"/>
            </w:tcMar>
          </w:tcPr>
          <w:p>
            <w:pPr>
              <w:spacing w:after="0"/>
            </w:pPr>
            <w:r>
              <w:rPr>
                <w:sz w:val="17"/>
              </w:rPr>
              <w:t>Magor, The Dell &amp; Watermore</w:t>
            </w:r>
          </w:p>
        </w:tc>
        <w:tc>
          <w:tcPr>
            <w:tcW w:type="dxa" w:w="2570"/>
            <w:tcMar>
              <w:top w:w="85" w:type="dxa"/>
              <w:start w:w="85" w:type="dxa"/>
              <w:bottom w:w="85" w:type="dxa"/>
              <w:end w:w="85" w:type="dxa"/>
            </w:tcMar>
            <w:shd w:fill="D9E9F5"/>
          </w:tcPr>
          <w:p>
            <w:pPr>
              <w:spacing w:after="0"/>
            </w:pPr>
            <w:r>
              <w:rPr>
                <w:b/>
                <w:sz w:val="17"/>
              </w:rPr>
              <w:t>Review date</w:t>
            </w:r>
          </w:p>
        </w:tc>
        <w:tc>
          <w:tcPr>
            <w:tcW w:type="dxa" w:w="2570"/>
            <w:tcMar>
              <w:top w:w="85" w:type="dxa"/>
              <w:start w:w="85" w:type="dxa"/>
              <w:bottom w:w="85" w:type="dxa"/>
              <w:end w:w="85" w:type="dxa"/>
            </w:tcMar>
          </w:tcPr>
          <w:p>
            <w:pPr>
              <w:spacing w:after="0"/>
            </w:pPr>
            <w:r>
              <w:rPr>
                <w:sz w:val="17"/>
              </w:rPr>
              <w:t>September 2027</w:t>
            </w:r>
          </w:p>
        </w:tc>
      </w:tr>
      <w:tr>
        <w:tc>
          <w:tcPr>
            <w:tcW w:type="dxa" w:w="2570"/>
            <w:tcMar>
              <w:top w:w="85" w:type="dxa"/>
              <w:start w:w="85" w:type="dxa"/>
              <w:bottom w:w="85" w:type="dxa"/>
              <w:end w:w="85" w:type="dxa"/>
            </w:tcMar>
            <w:shd w:fill="D9E9F5"/>
          </w:tcPr>
          <w:p>
            <w:pPr>
              <w:spacing w:after="0"/>
            </w:pPr>
            <w:r>
              <w:rPr>
                <w:b/>
                <w:sz w:val="17"/>
              </w:rPr>
              <w:t>General contact</w:t>
            </w:r>
          </w:p>
        </w:tc>
        <w:tc>
          <w:tcPr>
            <w:tcW w:type="dxa" w:w="2570"/>
            <w:tcMar>
              <w:top w:w="85" w:type="dxa"/>
              <w:start w:w="85" w:type="dxa"/>
              <w:bottom w:w="85" w:type="dxa"/>
              <w:end w:w="85" w:type="dxa"/>
            </w:tcMar>
          </w:tcPr>
          <w:p>
            <w:pPr>
              <w:spacing w:after="0"/>
            </w:pPr>
            <w:r>
              <w:rPr>
                <w:sz w:val="17"/>
              </w:rPr>
              <w:t>info@thelilrascals.co.uk</w:t>
            </w:r>
          </w:p>
        </w:tc>
        <w:tc>
          <w:tcPr>
            <w:tcW w:type="dxa" w:w="2570"/>
            <w:tcMar>
              <w:top w:w="85" w:type="dxa"/>
              <w:start w:w="85" w:type="dxa"/>
              <w:bottom w:w="85" w:type="dxa"/>
              <w:end w:w="85" w:type="dxa"/>
            </w:tcMar>
            <w:shd w:fill="D9E9F5"/>
          </w:tcPr>
          <w:p>
            <w:pPr>
              <w:spacing w:after="0"/>
            </w:pPr>
            <w:r>
              <w:rPr>
                <w:b/>
                <w:sz w:val="17"/>
              </w:rPr>
              <w:t>Status</w:t>
            </w:r>
          </w:p>
        </w:tc>
        <w:tc>
          <w:tcPr>
            <w:tcW w:type="dxa" w:w="2570"/>
            <w:tcMar>
              <w:top w:w="85" w:type="dxa"/>
              <w:start w:w="85" w:type="dxa"/>
              <w:bottom w:w="85" w:type="dxa"/>
              <w:end w:w="85" w:type="dxa"/>
            </w:tcMar>
          </w:tcPr>
          <w:p>
            <w:pPr>
              <w:spacing w:after="0"/>
            </w:pPr>
            <w:r>
              <w:rPr>
                <w:sz w:val="17"/>
              </w:rPr>
              <w:t>Controlled company-wide policy</w:t>
            </w:r>
          </w:p>
        </w:tc>
      </w:tr>
    </w:tbl>
    <w:p/>
    <w:tbl>
      <w:tblPr>
        <w:tblW w:type="auto" w:w="0"/>
        <w:jc w:val="center"/>
        <w:tblLook w:firstColumn="1" w:firstRow="1" w:lastColumn="0" w:lastRow="0" w:noHBand="0" w:noVBand="1" w:val="04A0"/>
      </w:tblPr>
      <w:tblGrid>
        <w:gridCol w:w="10282"/>
      </w:tblGrid>
      <w:tr>
        <w:tc>
          <w:tcPr>
            <w:tcW w:type="dxa" w:w="10282"/>
            <w:shd w:fill="EEF5FA"/>
            <w:tcMar>
              <w:top w:w="100" w:type="dxa"/>
              <w:start w:w="120" w:type="dxa"/>
              <w:bottom w:w="100" w:type="dxa"/>
              <w:end w:w="120" w:type="dxa"/>
            </w:tcMar>
          </w:tcPr>
          <w:p>
            <w:pPr>
              <w:spacing w:after="0"/>
            </w:pPr>
            <w:r>
              <w:rPr>
                <w:b/>
                <w:color w:val="193A63"/>
                <w:sz w:val="18"/>
              </w:rPr>
              <w:t xml:space="preserve">How this policy works across three settings: </w:t>
            </w:r>
            <w:r>
              <w:rPr>
                <w:sz w:val="18"/>
              </w:rPr>
              <w:t>the core policy applies to all sites. Where CIW/NMS requirements in Wales and Ofsted/EYFS requirements in England differ, the relevant regulatory appendix takes precedence. This allows one master policy to be reviewed and controlled for the company.</w:t>
            </w:r>
          </w:p>
        </w:tc>
      </w:tr>
    </w:tbl>
    <w:p/>
    <w:p>
      <w:pPr>
        <w:spacing w:before="140" w:after="60"/>
      </w:pPr>
      <w:r>
        <w:rPr>
          <w:b/>
          <w:color w:val="193A63"/>
          <w:sz w:val="28"/>
        </w:rPr>
        <w:t>1. Purpose and philosophy</w:t>
      </w:r>
    </w:p>
    <w:p>
      <w:pPr>
        <w:spacing w:after="80" w:line="247" w:lineRule="auto"/>
      </w:pPr>
      <w:r>
        <w:t>Play is central to The Lil Rascals. This policy explains how the company protects and supports children’s right and opportunity to play across all of its settings. Our role is not simply to occupy children between school terms or at the end of the day; it is to create welcoming, inclusive and stimulating environments where children can choose, direct and develop their own play.</w:t>
      </w:r>
    </w:p>
    <w:p>
      <w:pPr>
        <w:spacing w:after="80" w:line="247" w:lineRule="auto"/>
      </w:pPr>
      <w:r>
        <w:t>The Lil Rascals recognises play as freely chosen, personally directed and intrinsically motivated. Children should have genuine influence over what, how, where and with whom they play, within proportionate safeguarding and safety boundaries.</w:t>
      </w:r>
    </w:p>
    <w:p>
      <w:pPr>
        <w:spacing w:after="80" w:line="247" w:lineRule="auto"/>
      </w:pPr>
      <w:r>
        <w:t>This policy is informed by the Playwork Principles and by the principle that play is important to children’s wellbeing, development, friendships, identity, resilience, creativity and enjoyment.</w:t>
      </w:r>
    </w:p>
    <w:p>
      <w:pPr>
        <w:spacing w:before="140" w:after="60"/>
      </w:pPr>
      <w:r>
        <w:rPr>
          <w:b/>
          <w:color w:val="193A63"/>
          <w:sz w:val="28"/>
        </w:rPr>
        <w:t>2. Scope</w:t>
      </w:r>
    </w:p>
    <w:p>
      <w:pPr>
        <w:spacing w:after="80" w:line="247" w:lineRule="auto"/>
      </w:pPr>
      <w:r>
        <w:t>This policy applies to all Directors, Persons in Charge, managers, Senior Playworkers, Playworkers, agency/casual workers, apprentices, students and volunteers, and to all children attending Magor, The Dell or Watermore. It applies to indoor play, outdoor play, trips, visiting activities, structured opportunities and free play.</w:t>
      </w:r>
    </w:p>
    <w:p>
      <w:pPr>
        <w:spacing w:before="140" w:after="60"/>
      </w:pPr>
      <w:r>
        <w:rPr>
          <w:b/>
          <w:color w:val="193A63"/>
          <w:sz w:val="28"/>
        </w:rPr>
        <w:t>3. Our play commitments</w:t>
      </w:r>
    </w:p>
    <w:p>
      <w:pPr>
        <w:spacing w:after="50"/>
        <w:ind w:left="259" w:hanging="173"/>
      </w:pPr>
      <w:r>
        <w:rPr>
          <w:b/>
        </w:rPr>
        <w:t xml:space="preserve">• </w:t>
      </w:r>
      <w:r>
        <w:t>Children will have substantial opportunities for freely chosen, unstructured and self-directed play.</w:t>
      </w:r>
    </w:p>
    <w:p>
      <w:pPr>
        <w:spacing w:after="50"/>
        <w:ind w:left="259" w:hanging="173"/>
      </w:pPr>
      <w:r>
        <w:rPr>
          <w:b/>
        </w:rPr>
        <w:t xml:space="preserve">• </w:t>
      </w:r>
      <w:r>
        <w:t>Children will be able to choose whether to join an adult-offered activity; participation will not normally be compulsory.</w:t>
      </w:r>
    </w:p>
    <w:p>
      <w:pPr>
        <w:spacing w:after="50"/>
        <w:ind w:left="259" w:hanging="173"/>
      </w:pPr>
      <w:r>
        <w:rPr>
          <w:b/>
        </w:rPr>
        <w:t xml:space="preserve">• </w:t>
      </w:r>
      <w:r>
        <w:t>The daily programme will provide variety without becoming an adult timetable that unnecessarily interrupts children’s own play.</w:t>
      </w:r>
    </w:p>
    <w:p>
      <w:pPr>
        <w:spacing w:after="50"/>
        <w:ind w:left="259" w:hanging="173"/>
      </w:pPr>
      <w:r>
        <w:rPr>
          <w:b/>
        </w:rPr>
        <w:t xml:space="preserve">• </w:t>
      </w:r>
      <w:r>
        <w:t>Children’s ideas, interests and feedback will influence resources, activities and the organisation of play spaces.</w:t>
      </w:r>
    </w:p>
    <w:p>
      <w:pPr>
        <w:spacing w:after="50"/>
        <w:ind w:left="259" w:hanging="173"/>
      </w:pPr>
      <w:r>
        <w:rPr>
          <w:b/>
        </w:rPr>
        <w:t xml:space="preserve">• </w:t>
      </w:r>
      <w:r>
        <w:t>Children will have opportunities to be active, creative, imaginative, social, solitary, exploratory, sensory, messy, quiet and adventurous.</w:t>
      </w:r>
    </w:p>
    <w:p>
      <w:pPr>
        <w:spacing w:after="50"/>
        <w:ind w:left="259" w:hanging="173"/>
      </w:pPr>
      <w:r>
        <w:rPr>
          <w:b/>
        </w:rPr>
        <w:t xml:space="preserve">• </w:t>
      </w:r>
      <w:r>
        <w:t>Play will not be used as a reward that is routinely withdrawn as punishment.</w:t>
      </w:r>
    </w:p>
    <w:p>
      <w:pPr>
        <w:spacing w:after="50"/>
        <w:ind w:left="259" w:hanging="173"/>
      </w:pPr>
      <w:r>
        <w:rPr>
          <w:b/>
        </w:rPr>
        <w:t xml:space="preserve">• </w:t>
      </w:r>
      <w:r>
        <w:t>Staff will value the process of play rather than requiring a finished product, performance or measurable outcome.</w:t>
      </w:r>
    </w:p>
    <w:p>
      <w:pPr>
        <w:spacing w:after="50"/>
        <w:ind w:left="259" w:hanging="173"/>
      </w:pPr>
      <w:r>
        <w:rPr>
          <w:b/>
        </w:rPr>
        <w:t xml:space="preserve">• </w:t>
      </w:r>
      <w:r>
        <w:t>Children will be supported to make age-appropriate choices, negotiate, solve problems and manage ordinary disagreements with staff help where needed.</w:t>
      </w:r>
    </w:p>
    <w:p>
      <w:pPr>
        <w:spacing w:before="140" w:after="60"/>
      </w:pPr>
      <w:r>
        <w:rPr>
          <w:b/>
          <w:color w:val="193A63"/>
          <w:sz w:val="28"/>
        </w:rPr>
        <w:t>4. The role of the Playworker</w:t>
      </w:r>
    </w:p>
    <w:p>
      <w:pPr>
        <w:spacing w:after="80" w:line="247" w:lineRule="auto"/>
      </w:pPr>
      <w:r>
        <w:t>Playworkers create and maintain conditions in which play can flourish. Their starting point is to observe, understand the play process and intervene only as much as is useful or necessary.</w:t>
      </w:r>
    </w:p>
    <w:p>
      <w:pPr>
        <w:spacing w:after="50"/>
        <w:ind w:left="259" w:hanging="173"/>
      </w:pPr>
      <w:r>
        <w:rPr>
          <w:b/>
        </w:rPr>
        <w:t xml:space="preserve">• </w:t>
      </w:r>
      <w:r>
        <w:t>Provide time, space, permission and a varied range of resources.</w:t>
      </w:r>
    </w:p>
    <w:p>
      <w:pPr>
        <w:spacing w:after="50"/>
        <w:ind w:left="259" w:hanging="173"/>
      </w:pPr>
      <w:r>
        <w:rPr>
          <w:b/>
        </w:rPr>
        <w:t xml:space="preserve">• </w:t>
      </w:r>
      <w:r>
        <w:t>Observe before intervening and avoid unnecessarily directing, correcting or taking over children’s play.</w:t>
      </w:r>
    </w:p>
    <w:p>
      <w:pPr>
        <w:spacing w:after="50"/>
        <w:ind w:left="259" w:hanging="173"/>
      </w:pPr>
      <w:r>
        <w:rPr>
          <w:b/>
        </w:rPr>
        <w:t xml:space="preserve">• </w:t>
      </w:r>
      <w:r>
        <w:t>Respond warmly when children invite adult involvement and step back when adult involvement begins to limit the play.</w:t>
      </w:r>
    </w:p>
    <w:p>
      <w:pPr>
        <w:spacing w:after="50"/>
        <w:ind w:left="259" w:hanging="173"/>
      </w:pPr>
      <w:r>
        <w:rPr>
          <w:b/>
        </w:rPr>
        <w:t xml:space="preserve">• </w:t>
      </w:r>
      <w:r>
        <w:t>Protect children from bullying, abuse, discrimination and significant foreseeable harm without attempting to remove all uncertainty, challenge or ordinary childhood risk.</w:t>
      </w:r>
    </w:p>
    <w:p>
      <w:pPr>
        <w:spacing w:after="50"/>
        <w:ind w:left="259" w:hanging="173"/>
      </w:pPr>
      <w:r>
        <w:rPr>
          <w:b/>
        </w:rPr>
        <w:t xml:space="preserve">• </w:t>
      </w:r>
      <w:r>
        <w:t>Use reflective practice to consider how adult rules, routines, language, expectations and positioning affect the play space.</w:t>
      </w:r>
    </w:p>
    <w:p>
      <w:pPr>
        <w:spacing w:after="50"/>
        <w:ind w:left="259" w:hanging="173"/>
      </w:pPr>
      <w:r>
        <w:rPr>
          <w:b/>
        </w:rPr>
        <w:t xml:space="preserve">• </w:t>
      </w:r>
      <w:r>
        <w:t>Model respect and inclusion without turning every play experience into an adult-led lesson.</w:t>
      </w:r>
    </w:p>
    <w:p>
      <w:pPr>
        <w:spacing w:after="50"/>
        <w:ind w:left="259" w:hanging="173"/>
      </w:pPr>
      <w:r>
        <w:rPr>
          <w:b/>
        </w:rPr>
        <w:t xml:space="preserve">• </w:t>
      </w:r>
      <w:r>
        <w:t>Recognise when children need co-regulation, communication support, additional explanation or a quieter environment in order to access play.</w:t>
      </w:r>
    </w:p>
    <w:p>
      <w:pPr>
        <w:spacing w:before="140" w:after="60"/>
      </w:pPr>
      <w:r>
        <w:rPr>
          <w:b/>
          <w:color w:val="193A63"/>
          <w:sz w:val="28"/>
        </w:rPr>
        <w:t>5. Play environments and resources</w:t>
      </w:r>
    </w:p>
    <w:p>
      <w:pPr>
        <w:spacing w:after="50"/>
        <w:ind w:left="259" w:hanging="173"/>
      </w:pPr>
      <w:r>
        <w:rPr>
          <w:b/>
        </w:rPr>
        <w:t xml:space="preserve">• </w:t>
      </w:r>
      <w:r>
        <w:t>Indoor and outdoor areas should be welcoming, flexible and capable of being adapted by children where this can be done safely.</w:t>
      </w:r>
    </w:p>
    <w:p>
      <w:pPr>
        <w:spacing w:after="50"/>
        <w:ind w:left="259" w:hanging="173"/>
      </w:pPr>
      <w:r>
        <w:rPr>
          <w:b/>
        </w:rPr>
        <w:t xml:space="preserve">• </w:t>
      </w:r>
      <w:r>
        <w:t>Resources should support open-ended play as well as specific interests. Loose parts, construction, creative resources, role play, books, games, physical-play equipment and sensory materials may all form part of the offer.</w:t>
      </w:r>
    </w:p>
    <w:p>
      <w:pPr>
        <w:spacing w:after="50"/>
        <w:ind w:left="259" w:hanging="173"/>
      </w:pPr>
      <w:r>
        <w:rPr>
          <w:b/>
        </w:rPr>
        <w:t xml:space="preserve">• </w:t>
      </w:r>
      <w:r>
        <w:t>Children should be able to combine resources in imaginative ways unless there is a clear safety, safeguarding, hygiene or property reason to limit this.</w:t>
      </w:r>
    </w:p>
    <w:p>
      <w:pPr>
        <w:spacing w:after="50"/>
        <w:ind w:left="259" w:hanging="173"/>
      </w:pPr>
      <w:r>
        <w:rPr>
          <w:b/>
        </w:rPr>
        <w:t xml:space="preserve">• </w:t>
      </w:r>
      <w:r>
        <w:t>Resources should reflect different cultures, families, identities, abilities and experiences without stereotyping.</w:t>
      </w:r>
    </w:p>
    <w:p>
      <w:pPr>
        <w:spacing w:after="50"/>
        <w:ind w:left="259" w:hanging="173"/>
      </w:pPr>
      <w:r>
        <w:rPr>
          <w:b/>
        </w:rPr>
        <w:t xml:space="preserve">• </w:t>
      </w:r>
      <w:r>
        <w:t>Staff should rotate or add resources in response to observed interests while avoiding unnecessary removal of familiar resources that children repeatedly use in meaningful play.</w:t>
      </w:r>
    </w:p>
    <w:p>
      <w:pPr>
        <w:spacing w:after="50"/>
        <w:ind w:left="259" w:hanging="173"/>
      </w:pPr>
      <w:r>
        <w:rPr>
          <w:b/>
        </w:rPr>
        <w:t xml:space="preserve">• </w:t>
      </w:r>
      <w:r>
        <w:t>Outdoor play should be offered regularly and should not be limited only to warm, dry weather. Weather conditions are managed through clothing, hydration, shade, risk assessment and proportionate operational decisions.</w:t>
      </w:r>
    </w:p>
    <w:p>
      <w:pPr>
        <w:spacing w:before="140" w:after="60"/>
      </w:pPr>
      <w:r>
        <w:rPr>
          <w:b/>
          <w:color w:val="193A63"/>
          <w:sz w:val="28"/>
        </w:rPr>
        <w:t>6. Inclusion, ALN/SEND and equitable access to play</w:t>
      </w:r>
    </w:p>
    <w:p>
      <w:pPr>
        <w:spacing w:after="80" w:line="247" w:lineRule="auto"/>
      </w:pPr>
      <w:r>
        <w:t>The Lil Rascals aims to provide a supportive and inclusive play environment in which children with ALN, SEND, disabilities, neurodivergence, medical needs and communication differences can participate as full members of the group.</w:t>
      </w:r>
    </w:p>
    <w:p>
      <w:pPr>
        <w:spacing w:after="50"/>
        <w:ind w:left="259" w:hanging="173"/>
      </w:pPr>
      <w:r>
        <w:rPr>
          <w:b/>
        </w:rPr>
        <w:t xml:space="preserve">• </w:t>
      </w:r>
      <w:r>
        <w:t>Barriers to play will be identified with the child and family and reduced through reasonable adjustments.</w:t>
      </w:r>
    </w:p>
    <w:p>
      <w:pPr>
        <w:spacing w:after="50"/>
        <w:ind w:left="259" w:hanging="173"/>
      </w:pPr>
      <w:r>
        <w:rPr>
          <w:b/>
        </w:rPr>
        <w:t xml:space="preserve">• </w:t>
      </w:r>
      <w:r>
        <w:t>Adjustments may include visual communication, sensory resources, quieter spaces, adapted equipment, predictable routines, smaller groups, additional adult support, accessible layouts or modified activity expectations.</w:t>
      </w:r>
    </w:p>
    <w:p>
      <w:pPr>
        <w:spacing w:after="50"/>
        <w:ind w:left="259" w:hanging="173"/>
      </w:pPr>
      <w:r>
        <w:rPr>
          <w:b/>
        </w:rPr>
        <w:t xml:space="preserve">• </w:t>
      </w:r>
      <w:r>
        <w:t>Children will not be required to participate in the same way in order to belong. Parallel, solitary or differently paced play is equally valid.</w:t>
      </w:r>
    </w:p>
    <w:p>
      <w:pPr>
        <w:spacing w:after="50"/>
        <w:ind w:left="259" w:hanging="173"/>
      </w:pPr>
      <w:r>
        <w:rPr>
          <w:b/>
        </w:rPr>
        <w:t xml:space="preserve">• </w:t>
      </w:r>
      <w:r>
        <w:t>Staff will avoid interpreting disability, neurodivergence or communication differences as poor behaviour when a child is expressing a need, seeking regulation or communicating differently.</w:t>
      </w:r>
    </w:p>
    <w:p>
      <w:pPr>
        <w:spacing w:after="50"/>
        <w:ind w:left="259" w:hanging="173"/>
      </w:pPr>
      <w:r>
        <w:rPr>
          <w:b/>
        </w:rPr>
        <w:t xml:space="preserve">• </w:t>
      </w:r>
      <w:r>
        <w:t>Risk assessments and support plans will consider both safety and the child’s right to meaningful play, rather than using risk as an automatic reason to exclude.</w:t>
      </w:r>
    </w:p>
    <w:p>
      <w:pPr>
        <w:spacing w:before="140" w:after="60"/>
      </w:pPr>
      <w:r>
        <w:rPr>
          <w:b/>
          <w:color w:val="193A63"/>
          <w:sz w:val="28"/>
        </w:rPr>
        <w:t>7. Risk, challenge and adventurous play</w:t>
      </w:r>
    </w:p>
    <w:p>
      <w:pPr>
        <w:spacing w:after="80" w:line="247" w:lineRule="auto"/>
      </w:pPr>
      <w:r>
        <w:t>Children benefit from opportunities to test themselves, encounter uncertainty and develop judgement. The Lil Rascals therefore uses a risk-benefit approach: the benefit of an activity is considered alongside the likelihood and severity of potential harm.</w:t>
      </w:r>
    </w:p>
    <w:p>
      <w:pPr>
        <w:spacing w:after="50"/>
        <w:ind w:left="259" w:hanging="173"/>
      </w:pPr>
      <w:r>
        <w:rPr>
          <w:b/>
        </w:rPr>
        <w:t xml:space="preserve">• </w:t>
      </w:r>
      <w:r>
        <w:t>Staff distinguish between hazards that require control and beneficial challenge that children can reasonably encounter.</w:t>
      </w:r>
    </w:p>
    <w:p>
      <w:pPr>
        <w:spacing w:after="50"/>
        <w:ind w:left="259" w:hanging="173"/>
      </w:pPr>
      <w:r>
        <w:rPr>
          <w:b/>
        </w:rPr>
        <w:t xml:space="preserve">• </w:t>
      </w:r>
      <w:r>
        <w:t>Formal and dynamic risk assessment should support play, not eliminate it.</w:t>
      </w:r>
    </w:p>
    <w:p>
      <w:pPr>
        <w:spacing w:after="50"/>
        <w:ind w:left="259" w:hanging="173"/>
      </w:pPr>
      <w:r>
        <w:rPr>
          <w:b/>
        </w:rPr>
        <w:t xml:space="preserve">• </w:t>
      </w:r>
      <w:r>
        <w:t>Activities are not stopped solely because minor bumps, dirt, disagreement or manageable uncertainty are possible.</w:t>
      </w:r>
    </w:p>
    <w:p>
      <w:pPr>
        <w:spacing w:after="50"/>
        <w:ind w:left="259" w:hanging="173"/>
      </w:pPr>
      <w:r>
        <w:rPr>
          <w:b/>
        </w:rPr>
        <w:t xml:space="preserve">• </w:t>
      </w:r>
      <w:r>
        <w:t>Where a risk could cause significant harm, staff introduce proportionate controls, change the environment or stop the activity where necessary.</w:t>
      </w:r>
    </w:p>
    <w:p>
      <w:pPr>
        <w:spacing w:after="50"/>
        <w:ind w:left="259" w:hanging="173"/>
      </w:pPr>
      <w:r>
        <w:rPr>
          <w:b/>
        </w:rPr>
        <w:t xml:space="preserve">• </w:t>
      </w:r>
      <w:r>
        <w:t>Children are involved in recognising and managing risks where this is appropriate to their age and understanding.</w:t>
      </w:r>
    </w:p>
    <w:p>
      <w:pPr>
        <w:spacing w:after="50"/>
        <w:ind w:left="259" w:hanging="173"/>
      </w:pPr>
      <w:r>
        <w:rPr>
          <w:b/>
        </w:rPr>
        <w:t xml:space="preserve">• </w:t>
      </w:r>
      <w:r>
        <w:t>Rough-and-tumble, chase play, climbing and energetic play may be permitted where staff can distinguish consensual play from aggression and manage the environment safely.</w:t>
      </w:r>
    </w:p>
    <w:p>
      <w:pPr>
        <w:spacing w:before="140" w:after="60"/>
      </w:pPr>
      <w:r>
        <w:rPr>
          <w:b/>
          <w:color w:val="193A63"/>
          <w:sz w:val="28"/>
        </w:rPr>
        <w:t>8. Play, behaviour and relationships</w:t>
      </w:r>
    </w:p>
    <w:p>
      <w:pPr>
        <w:spacing w:after="80" w:line="247" w:lineRule="auto"/>
      </w:pPr>
      <w:r>
        <w:t>Children often use play to explore strong emotions, power, conflict, humour and real-life experiences. Staff should not automatically interpret noisy, physical, superhero, fantasy, weapon-themed or conflict-themed play as harmful.</w:t>
      </w:r>
    </w:p>
    <w:p>
      <w:pPr>
        <w:spacing w:after="50"/>
        <w:ind w:left="259" w:hanging="173"/>
      </w:pPr>
      <w:r>
        <w:rPr>
          <w:b/>
        </w:rPr>
        <w:t xml:space="preserve">• </w:t>
      </w:r>
      <w:r>
        <w:t>Intervention is required where play becomes non-consensual, discriminatory, humiliating, sexually inappropriate, persistently distressing, unsafe or creates a safeguarding concern.</w:t>
      </w:r>
    </w:p>
    <w:p>
      <w:pPr>
        <w:spacing w:after="50"/>
        <w:ind w:left="259" w:hanging="173"/>
      </w:pPr>
      <w:r>
        <w:rPr>
          <w:b/>
        </w:rPr>
        <w:t xml:space="preserve">• </w:t>
      </w:r>
      <w:r>
        <w:t>Children’s boundaries are respected: a child may leave play, say no, seek help or choose a different space.</w:t>
      </w:r>
    </w:p>
    <w:p>
      <w:pPr>
        <w:spacing w:after="50"/>
        <w:ind w:left="259" w:hanging="173"/>
      </w:pPr>
      <w:r>
        <w:rPr>
          <w:b/>
        </w:rPr>
        <w:t xml:space="preserve">• </w:t>
      </w:r>
      <w:r>
        <w:t>Staff use the Positive Relationships / Behaviour Policy where behaviour requires additional support.</w:t>
      </w:r>
    </w:p>
    <w:p>
      <w:pPr>
        <w:spacing w:after="50"/>
        <w:ind w:left="259" w:hanging="173"/>
      </w:pPr>
      <w:r>
        <w:rPr>
          <w:b/>
        </w:rPr>
        <w:t xml:space="preserve">• </w:t>
      </w:r>
      <w:r>
        <w:t>Safeguarding concerns revealed through play, drawings, role play or conversation are responded to under the Safeguarding Policy and are not investigated through repeated questioning.</w:t>
      </w:r>
    </w:p>
    <w:p>
      <w:pPr>
        <w:spacing w:before="140" w:after="60"/>
      </w:pPr>
      <w:r>
        <w:rPr>
          <w:b/>
          <w:color w:val="193A63"/>
          <w:sz w:val="28"/>
        </w:rPr>
        <w:t>9. Digital and screen-based play</w:t>
      </w:r>
    </w:p>
    <w:p>
      <w:pPr>
        <w:spacing w:after="80" w:line="247" w:lineRule="auto"/>
      </w:pPr>
      <w:r>
        <w:t>Digital play can be one part of a broad play offer but should not displace active play, face-to-face interaction, creativity, outdoor experiences, sleep/rest needs or responsive adult relationships.</w:t>
      </w:r>
    </w:p>
    <w:p>
      <w:pPr>
        <w:spacing w:after="50"/>
        <w:ind w:left="259" w:hanging="173"/>
      </w:pPr>
      <w:r>
        <w:rPr>
          <w:b/>
        </w:rPr>
        <w:t xml:space="preserve">• </w:t>
      </w:r>
      <w:r>
        <w:t>At Watermore, where younger early-years children may attend, staff must have regard to the current DfE screen-use guidance. For children aged 2–5, screen time should be limited and purposeful; screen-based assistive technology for SEND is treated according to the child’s needs rather than a general time limit.</w:t>
      </w:r>
    </w:p>
    <w:p>
      <w:pPr>
        <w:spacing w:after="50"/>
        <w:ind w:left="259" w:hanging="173"/>
      </w:pPr>
      <w:r>
        <w:rPr>
          <w:b/>
        </w:rPr>
        <w:t xml:space="preserve">• </w:t>
      </w:r>
      <w:r>
        <w:t>Across all settings, screens should be used intentionally and age-appropriately rather than as routine background entertainment.</w:t>
      </w:r>
    </w:p>
    <w:p>
      <w:pPr>
        <w:spacing w:after="50"/>
        <w:ind w:left="259" w:hanging="173"/>
      </w:pPr>
      <w:r>
        <w:rPr>
          <w:b/>
        </w:rPr>
        <w:t xml:space="preserve">• </w:t>
      </w:r>
      <w:r>
        <w:t>Children’s online access is supervised and uses the setting’s approved devices, accounts, filtering and safeguarding arrangements.</w:t>
      </w:r>
    </w:p>
    <w:p>
      <w:pPr>
        <w:spacing w:after="50"/>
        <w:ind w:left="259" w:hanging="173"/>
      </w:pPr>
      <w:r>
        <w:rPr>
          <w:b/>
        </w:rPr>
        <w:t xml:space="preserve">• </w:t>
      </w:r>
      <w:r>
        <w:t>Photography, recording and device use are governed by the company Mobile Phones, Cameras, Photography and Electronic Devices Policy and the Media Policy.</w:t>
      </w:r>
    </w:p>
    <w:p>
      <w:pPr>
        <w:spacing w:before="140" w:after="60"/>
      </w:pPr>
      <w:r>
        <w:rPr>
          <w:b/>
          <w:color w:val="193A63"/>
          <w:sz w:val="28"/>
        </w:rPr>
        <w:t>10. Child voice and participation</w:t>
      </w:r>
    </w:p>
    <w:p>
      <w:pPr>
        <w:spacing w:after="50"/>
        <w:ind w:left="259" w:hanging="173"/>
      </w:pPr>
      <w:r>
        <w:rPr>
          <w:b/>
        </w:rPr>
        <w:t xml:space="preserve">• </w:t>
      </w:r>
      <w:r>
        <w:t>Children are routinely asked what they enjoy, what they would like to change and what resources or experiences they would like available.</w:t>
      </w:r>
    </w:p>
    <w:p>
      <w:pPr>
        <w:spacing w:after="50"/>
        <w:ind w:left="259" w:hanging="173"/>
      </w:pPr>
      <w:r>
        <w:rPr>
          <w:b/>
        </w:rPr>
        <w:t xml:space="preserve">• </w:t>
      </w:r>
      <w:r>
        <w:t>Staff use conversation, observation, suggestion methods and accessible communication rather than relying only on written questionnaires.</w:t>
      </w:r>
    </w:p>
    <w:p>
      <w:pPr>
        <w:spacing w:after="50"/>
        <w:ind w:left="259" w:hanging="173"/>
      </w:pPr>
      <w:r>
        <w:rPr>
          <w:b/>
        </w:rPr>
        <w:t xml:space="preserve">• </w:t>
      </w:r>
      <w:r>
        <w:t>Children’s views inform planning and quality review, but staff retain responsibility for safeguarding, legal compliance and proportionate safety decisions.</w:t>
      </w:r>
    </w:p>
    <w:p>
      <w:pPr>
        <w:spacing w:after="50"/>
        <w:ind w:left="259" w:hanging="173"/>
      </w:pPr>
      <w:r>
        <w:rPr>
          <w:b/>
        </w:rPr>
        <w:t xml:space="preserve">• </w:t>
      </w:r>
      <w:r>
        <w:t>A child’s decision not to join a planned activity is treated as a valid choice unless participation is necessary for an emergency, safeguarding, collection/transition or other essential operational reason.</w:t>
      </w:r>
    </w:p>
    <w:p>
      <w:pPr>
        <w:spacing w:before="140" w:after="60"/>
      </w:pPr>
      <w:r>
        <w:rPr>
          <w:b/>
          <w:color w:val="193A63"/>
          <w:sz w:val="28"/>
        </w:rPr>
        <w:t>11. Parents, carers and community</w:t>
      </w:r>
    </w:p>
    <w:p>
      <w:pPr>
        <w:spacing w:after="50"/>
        <w:ind w:left="259" w:hanging="173"/>
      </w:pPr>
      <w:r>
        <w:rPr>
          <w:b/>
        </w:rPr>
        <w:t xml:space="preserve">• </w:t>
      </w:r>
      <w:r>
        <w:t>Parents/carers are informed that play may be active, messy, exploratory and involve appropriate challenge.</w:t>
      </w:r>
    </w:p>
    <w:p>
      <w:pPr>
        <w:spacing w:after="50"/>
        <w:ind w:left="259" w:hanging="173"/>
      </w:pPr>
      <w:r>
        <w:rPr>
          <w:b/>
        </w:rPr>
        <w:t xml:space="preserve">• </w:t>
      </w:r>
      <w:r>
        <w:t>Families are encouraged to share interests, cultural traditions, communication needs and information that helps staff support the child’s play.</w:t>
      </w:r>
    </w:p>
    <w:p>
      <w:pPr>
        <w:spacing w:after="50"/>
        <w:ind w:left="259" w:hanging="173"/>
      </w:pPr>
      <w:r>
        <w:rPr>
          <w:b/>
        </w:rPr>
        <w:t xml:space="preserve">• </w:t>
      </w:r>
      <w:r>
        <w:t>Concerns about play provision are addressed respectfully through discussion and, where necessary, the Complaints Policy.</w:t>
      </w:r>
    </w:p>
    <w:p>
      <w:pPr>
        <w:spacing w:after="50"/>
        <w:ind w:left="259" w:hanging="173"/>
      </w:pPr>
      <w:r>
        <w:rPr>
          <w:b/>
        </w:rPr>
        <w:t xml:space="preserve">• </w:t>
      </w:r>
      <w:r>
        <w:t>External activity providers are expected to work consistently with safeguarding, inclusion and the principles of this policy.</w:t>
      </w:r>
    </w:p>
    <w:p>
      <w:pPr>
        <w:spacing w:before="140" w:after="60"/>
      </w:pPr>
      <w:r>
        <w:rPr>
          <w:b/>
          <w:color w:val="193A63"/>
          <w:sz w:val="28"/>
        </w:rPr>
        <w:t>12. Planning, observation and quality improvement</w:t>
      </w:r>
    </w:p>
    <w:p>
      <w:pPr>
        <w:spacing w:after="80" w:line="247" w:lineRule="auto"/>
      </w:pPr>
      <w:r>
        <w:t>Planning should be proportionate. Staff are not expected to produce excessive written observations or turn holiday/out-of-school play into a formal classroom curriculum.</w:t>
      </w:r>
    </w:p>
    <w:p>
      <w:pPr>
        <w:spacing w:after="50"/>
        <w:ind w:left="259" w:hanging="173"/>
      </w:pPr>
      <w:r>
        <w:rPr>
          <w:b/>
        </w:rPr>
        <w:t xml:space="preserve">• </w:t>
      </w:r>
      <w:r>
        <w:t>Weekly or daily ideas may be prepared, but plans remain flexible and responsive to children.</w:t>
      </w:r>
    </w:p>
    <w:p>
      <w:pPr>
        <w:spacing w:after="50"/>
        <w:ind w:left="259" w:hanging="173"/>
      </w:pPr>
      <w:r>
        <w:rPr>
          <w:b/>
        </w:rPr>
        <w:t xml:space="preserve">• </w:t>
      </w:r>
      <w:r>
        <w:t>Staff reflect on whether children had genuine choice, whether some children were excluded from opportunities and whether adult routines unnecessarily interrupted play.</w:t>
      </w:r>
    </w:p>
    <w:p>
      <w:pPr>
        <w:spacing w:after="50"/>
        <w:ind w:left="259" w:hanging="173"/>
      </w:pPr>
      <w:r>
        <w:rPr>
          <w:b/>
        </w:rPr>
        <w:t xml:space="preserve">• </w:t>
      </w:r>
      <w:r>
        <w:t>Accidents, near misses and challenging incidents are reviewed for learning without automatically banning the play activity.</w:t>
      </w:r>
    </w:p>
    <w:p>
      <w:pPr>
        <w:spacing w:after="50"/>
        <w:ind w:left="259" w:hanging="173"/>
      </w:pPr>
      <w:r>
        <w:rPr>
          <w:b/>
        </w:rPr>
        <w:t xml:space="preserve">• </w:t>
      </w:r>
      <w:r>
        <w:t>Play quality is considered through supervision, team discussion, children’s feedback, parent feedback and the annual Quality of Care / service-review process.</w:t>
      </w:r>
    </w:p>
    <w:p>
      <w:pPr>
        <w:spacing w:before="140" w:after="60"/>
      </w:pPr>
      <w:r>
        <w:rPr>
          <w:b/>
          <w:color w:val="193A63"/>
          <w:sz w:val="28"/>
        </w:rPr>
        <w:t>13. Safeguarding and professional boundaries</w:t>
      </w:r>
    </w:p>
    <w:p>
      <w:pPr>
        <w:spacing w:after="50"/>
        <w:ind w:left="259" w:hanging="173"/>
      </w:pPr>
      <w:r>
        <w:rPr>
          <w:b/>
        </w:rPr>
        <w:t xml:space="preserve">• </w:t>
      </w:r>
      <w:r>
        <w:t>The child’s welfare is always paramount and safeguarding procedures take precedence where there is a concern about harm, abuse or exploitation.</w:t>
      </w:r>
    </w:p>
    <w:p>
      <w:pPr>
        <w:spacing w:after="50"/>
        <w:ind w:left="259" w:hanging="173"/>
      </w:pPr>
      <w:r>
        <w:rPr>
          <w:b/>
        </w:rPr>
        <w:t xml:space="preserve">• </w:t>
      </w:r>
      <w:r>
        <w:t>One-to-one play interactions remain professional, observable and consistent with the Staff Code of Conduct.</w:t>
      </w:r>
    </w:p>
    <w:p>
      <w:pPr>
        <w:spacing w:after="50"/>
        <w:ind w:left="259" w:hanging="173"/>
      </w:pPr>
      <w:r>
        <w:rPr>
          <w:b/>
        </w:rPr>
        <w:t xml:space="preserve">• </w:t>
      </w:r>
      <w:r>
        <w:t>Staff do not use play to obtain disclosures, test a child’s account or investigate a safeguarding allegation.</w:t>
      </w:r>
    </w:p>
    <w:p>
      <w:pPr>
        <w:spacing w:after="50"/>
        <w:ind w:left="259" w:hanging="173"/>
      </w:pPr>
      <w:r>
        <w:rPr>
          <w:b/>
        </w:rPr>
        <w:t xml:space="preserve">• </w:t>
      </w:r>
      <w:r>
        <w:t>Personal devices must not be used in the play space contrary to the company device policy.</w:t>
      </w:r>
    </w:p>
    <w:p>
      <w:pPr>
        <w:spacing w:before="140" w:after="60"/>
      </w:pPr>
      <w:r>
        <w:rPr>
          <w:b/>
          <w:color w:val="193A63"/>
          <w:sz w:val="28"/>
        </w:rPr>
        <w:t>14. Regulatory application by setting</w:t>
      </w:r>
    </w:p>
    <w:tbl>
      <w:tblPr>
        <w:tblW w:type="auto" w:w="0"/>
        <w:jc w:val="center"/>
        <w:tblLook w:firstColumn="1" w:firstRow="1" w:lastColumn="0" w:lastRow="0" w:noHBand="0" w:noVBand="1" w:val="04A0"/>
      </w:tblPr>
      <w:tblGrid>
        <w:gridCol w:w="3427"/>
        <w:gridCol w:w="3427"/>
        <w:gridCol w:w="3427"/>
      </w:tblGrid>
      <w:tr>
        <w:tc>
          <w:tcPr>
            <w:tcW w:type="dxa" w:w="3427"/>
            <w:shd w:fill="193A63"/>
            <w:tcMar>
              <w:top w:w="85" w:type="dxa"/>
              <w:start w:w="85" w:type="dxa"/>
              <w:bottom w:w="85" w:type="dxa"/>
              <w:end w:w="85" w:type="dxa"/>
            </w:tcMar>
          </w:tcPr>
          <w:p>
            <w:pPr>
              <w:spacing w:after="0"/>
            </w:pPr>
            <w:r>
              <w:rPr>
                <w:b/>
                <w:color w:val="FFFFFF"/>
                <w:sz w:val="16"/>
              </w:rPr>
              <w:t>Setting</w:t>
            </w:r>
          </w:p>
        </w:tc>
        <w:tc>
          <w:tcPr>
            <w:tcW w:type="dxa" w:w="3427"/>
            <w:shd w:fill="193A63"/>
            <w:tcMar>
              <w:top w:w="85" w:type="dxa"/>
              <w:start w:w="85" w:type="dxa"/>
              <w:bottom w:w="85" w:type="dxa"/>
              <w:end w:w="85" w:type="dxa"/>
            </w:tcMar>
          </w:tcPr>
          <w:p>
            <w:pPr>
              <w:spacing w:after="0"/>
            </w:pPr>
            <w:r>
              <w:rPr>
                <w:b/>
                <w:color w:val="FFFFFF"/>
                <w:sz w:val="16"/>
              </w:rPr>
              <w:t>Primary framework</w:t>
            </w:r>
          </w:p>
        </w:tc>
        <w:tc>
          <w:tcPr>
            <w:tcW w:type="dxa" w:w="3427"/>
            <w:shd w:fill="193A63"/>
            <w:tcMar>
              <w:top w:w="85" w:type="dxa"/>
              <w:start w:w="85" w:type="dxa"/>
              <w:bottom w:w="85" w:type="dxa"/>
              <w:end w:w="85" w:type="dxa"/>
            </w:tcMar>
          </w:tcPr>
          <w:p>
            <w:pPr>
              <w:spacing w:after="0"/>
            </w:pPr>
            <w:r>
              <w:rPr>
                <w:b/>
                <w:color w:val="FFFFFF"/>
                <w:sz w:val="16"/>
              </w:rPr>
              <w:t>How this policy applies</w:t>
            </w:r>
          </w:p>
        </w:tc>
      </w:tr>
      <w:tr>
        <w:tc>
          <w:tcPr>
            <w:tcW w:type="dxa" w:w="3427"/>
            <w:tcMar>
              <w:top w:w="85" w:type="dxa"/>
              <w:start w:w="85" w:type="dxa"/>
              <w:bottom w:w="85" w:type="dxa"/>
              <w:end w:w="85" w:type="dxa"/>
            </w:tcMar>
            <w:shd w:fill="D9E9F5"/>
          </w:tcPr>
          <w:p>
            <w:pPr>
              <w:spacing w:after="0"/>
            </w:pPr>
            <w:r>
              <w:rPr>
                <w:b/>
                <w:sz w:val="16"/>
              </w:rPr>
              <w:t>Magor &amp; The Dell (Wales)</w:t>
            </w:r>
          </w:p>
        </w:tc>
        <w:tc>
          <w:tcPr>
            <w:tcW w:type="dxa" w:w="3427"/>
            <w:tcMar>
              <w:top w:w="85" w:type="dxa"/>
              <w:start w:w="85" w:type="dxa"/>
              <w:bottom w:w="85" w:type="dxa"/>
              <w:end w:w="85" w:type="dxa"/>
            </w:tcMar>
          </w:tcPr>
          <w:p>
            <w:pPr>
              <w:spacing w:after="0"/>
            </w:pPr>
            <w:r>
              <w:rPr>
                <w:sz w:val="16"/>
              </w:rPr>
              <w:t>Welsh Government NMS 2026, particularly Standards 4, 7, 16, 22 and 23; Child Minding and Day Care (Wales) Regulations 2010 (as amended).</w:t>
            </w:r>
          </w:p>
        </w:tc>
        <w:tc>
          <w:tcPr>
            <w:tcW w:type="dxa" w:w="3427"/>
            <w:tcMar>
              <w:top w:w="85" w:type="dxa"/>
              <w:start w:w="85" w:type="dxa"/>
              <w:bottom w:w="85" w:type="dxa"/>
              <w:end w:w="85" w:type="dxa"/>
            </w:tcMar>
          </w:tcPr>
          <w:p>
            <w:pPr>
              <w:spacing w:after="0"/>
            </w:pPr>
            <w:r>
              <w:rPr>
                <w:sz w:val="16"/>
              </w:rPr>
              <w:t>Freely chosen and self-directed play, child-centred planning, equality/inclusion, rich play environments and proportionate risk-benefit practice are core expectations.</w:t>
            </w:r>
          </w:p>
        </w:tc>
      </w:tr>
      <w:tr>
        <w:tc>
          <w:tcPr>
            <w:tcW w:type="dxa" w:w="3427"/>
            <w:tcMar>
              <w:top w:w="85" w:type="dxa"/>
              <w:start w:w="85" w:type="dxa"/>
              <w:bottom w:w="85" w:type="dxa"/>
              <w:end w:w="85" w:type="dxa"/>
            </w:tcMar>
            <w:shd w:fill="D9E9F5"/>
          </w:tcPr>
          <w:p>
            <w:pPr>
              <w:spacing w:after="0"/>
            </w:pPr>
            <w:r>
              <w:rPr>
                <w:b/>
                <w:sz w:val="16"/>
              </w:rPr>
              <w:t>Watermore (England)</w:t>
            </w:r>
          </w:p>
        </w:tc>
        <w:tc>
          <w:tcPr>
            <w:tcW w:type="dxa" w:w="3427"/>
            <w:tcMar>
              <w:top w:w="85" w:type="dxa"/>
              <w:start w:w="85" w:type="dxa"/>
              <w:bottom w:w="85" w:type="dxa"/>
              <w:end w:w="85" w:type="dxa"/>
            </w:tcMar>
          </w:tcPr>
          <w:p>
            <w:pPr>
              <w:spacing w:after="0"/>
            </w:pPr>
            <w:r>
              <w:rPr>
                <w:sz w:val="16"/>
              </w:rPr>
              <w:t>EYFS statutory framework for group and school-based providers effective 1 September 2026; Ofsted requirements as applicable.</w:t>
            </w:r>
          </w:p>
        </w:tc>
        <w:tc>
          <w:tcPr>
            <w:tcW w:type="dxa" w:w="3427"/>
            <w:tcMar>
              <w:top w:w="85" w:type="dxa"/>
              <w:start w:w="85" w:type="dxa"/>
              <w:bottom w:w="85" w:type="dxa"/>
              <w:end w:w="85" w:type="dxa"/>
            </w:tcMar>
          </w:tcPr>
          <w:p>
            <w:pPr>
              <w:spacing w:after="0"/>
            </w:pPr>
            <w:r>
              <w:rPr>
                <w:sz w:val="16"/>
              </w:rPr>
              <w:t>Reception-age-and-older holiday/wraparound provision does not have to meet EYFS learning/development sections, but play remains the company model. Younger early-years children are guided by EYFS learning/development principles and all early-years children remain subject to welfare requirements.</w:t>
            </w:r>
          </w:p>
        </w:tc>
      </w:tr>
    </w:tbl>
    <w:p>
      <w:pPr>
        <w:spacing w:before="140" w:after="60"/>
      </w:pPr>
      <w:r>
        <w:rPr>
          <w:b/>
          <w:color w:val="193A63"/>
          <w:sz w:val="28"/>
        </w:rPr>
        <w:t>15. Related documents</w:t>
      </w:r>
    </w:p>
    <w:p>
      <w:pPr>
        <w:spacing w:after="50"/>
        <w:ind w:left="259" w:hanging="173"/>
      </w:pPr>
      <w:r>
        <w:rPr>
          <w:b/>
        </w:rPr>
        <w:t xml:space="preserve">• </w:t>
      </w:r>
      <w:r>
        <w:t>Safeguarding and Child Protection Policy</w:t>
      </w:r>
    </w:p>
    <w:p>
      <w:pPr>
        <w:spacing w:after="50"/>
        <w:ind w:left="259" w:hanging="173"/>
      </w:pPr>
      <w:r>
        <w:rPr>
          <w:b/>
        </w:rPr>
        <w:t xml:space="preserve">• </w:t>
      </w:r>
      <w:r>
        <w:t>ALN / Disability / Inclusion Policy</w:t>
      </w:r>
    </w:p>
    <w:p>
      <w:pPr>
        <w:spacing w:after="50"/>
        <w:ind w:left="259" w:hanging="173"/>
      </w:pPr>
      <w:r>
        <w:rPr>
          <w:b/>
        </w:rPr>
        <w:t xml:space="preserve">• </w:t>
      </w:r>
      <w:r>
        <w:t>Equal Opportunities, Diversity and Inclusion Policy</w:t>
      </w:r>
    </w:p>
    <w:p>
      <w:pPr>
        <w:spacing w:after="50"/>
        <w:ind w:left="259" w:hanging="173"/>
      </w:pPr>
      <w:r>
        <w:rPr>
          <w:b/>
        </w:rPr>
        <w:t xml:space="preserve">• </w:t>
      </w:r>
      <w:r>
        <w:t>Behaviour / Positive Relationships and Physical Intervention Policy</w:t>
      </w:r>
    </w:p>
    <w:p>
      <w:pPr>
        <w:spacing w:after="50"/>
        <w:ind w:left="259" w:hanging="173"/>
      </w:pPr>
      <w:r>
        <w:rPr>
          <w:b/>
        </w:rPr>
        <w:t xml:space="preserve">• </w:t>
      </w:r>
      <w:r>
        <w:t>Risk Assessment / Risk-Benefit Policy and current risk assessments</w:t>
      </w:r>
    </w:p>
    <w:p>
      <w:pPr>
        <w:spacing w:after="50"/>
        <w:ind w:left="259" w:hanging="173"/>
      </w:pPr>
      <w:r>
        <w:rPr>
          <w:b/>
        </w:rPr>
        <w:t xml:space="preserve">• </w:t>
      </w:r>
      <w:r>
        <w:t>Health and Safety Policy</w:t>
      </w:r>
    </w:p>
    <w:p>
      <w:pPr>
        <w:spacing w:after="50"/>
        <w:ind w:left="259" w:hanging="173"/>
      </w:pPr>
      <w:r>
        <w:rPr>
          <w:b/>
        </w:rPr>
        <w:t xml:space="preserve">• </w:t>
      </w:r>
      <w:r>
        <w:t>Mobile Phones, Cameras, Photography and Electronic Devices Policy</w:t>
      </w:r>
    </w:p>
    <w:p>
      <w:pPr>
        <w:spacing w:after="50"/>
        <w:ind w:left="259" w:hanging="173"/>
      </w:pPr>
      <w:r>
        <w:rPr>
          <w:b/>
        </w:rPr>
        <w:t xml:space="preserve">• </w:t>
      </w:r>
      <w:r>
        <w:t>Media, Social Media, Photography, Video and Publicity Policy</w:t>
      </w:r>
    </w:p>
    <w:p>
      <w:pPr>
        <w:spacing w:after="50"/>
        <w:ind w:left="259" w:hanging="173"/>
      </w:pPr>
      <w:r>
        <w:rPr>
          <w:b/>
        </w:rPr>
        <w:t xml:space="preserve">• </w:t>
      </w:r>
      <w:r>
        <w:t>Staff Code of Conduct and Professional Boundaries</w:t>
      </w:r>
    </w:p>
    <w:p>
      <w:pPr>
        <w:spacing w:after="50"/>
        <w:ind w:left="259" w:hanging="173"/>
      </w:pPr>
      <w:r>
        <w:rPr>
          <w:b/>
        </w:rPr>
        <w:t xml:space="preserve">• </w:t>
      </w:r>
      <w:r>
        <w:t>Visitors, Contractors and External Providers Policy</w:t>
      </w:r>
    </w:p>
    <w:p>
      <w:pPr>
        <w:spacing w:before="140" w:after="60"/>
      </w:pPr>
      <w:r>
        <w:rPr>
          <w:b/>
          <w:color w:val="193A63"/>
          <w:sz w:val="28"/>
        </w:rPr>
        <w:t>16. Legal and guidance framework</w:t>
      </w:r>
    </w:p>
    <w:p>
      <w:pPr>
        <w:spacing w:after="50"/>
        <w:ind w:left="259" w:hanging="173"/>
      </w:pPr>
      <w:r>
        <w:rPr>
          <w:b/>
        </w:rPr>
        <w:t xml:space="preserve">• </w:t>
      </w:r>
      <w:r>
        <w:t>Welsh Government National Minimum Standards for Regulated Childcare, 18 June 2026.</w:t>
      </w:r>
    </w:p>
    <w:p>
      <w:pPr>
        <w:spacing w:after="50"/>
        <w:ind w:left="259" w:hanging="173"/>
      </w:pPr>
      <w:r>
        <w:rPr>
          <w:b/>
        </w:rPr>
        <w:t xml:space="preserve">• </w:t>
      </w:r>
      <w:r>
        <w:t>Playwork Principles, Playwork Principles Scrutiny Group (2005).</w:t>
      </w:r>
    </w:p>
    <w:p>
      <w:pPr>
        <w:spacing w:after="50"/>
        <w:ind w:left="259" w:hanging="173"/>
      </w:pPr>
      <w:r>
        <w:rPr>
          <w:b/>
        </w:rPr>
        <w:t xml:space="preserve">• </w:t>
      </w:r>
      <w:r>
        <w:t>United Nations Convention on the Rights of the Child, Article 31 (rest, leisure and play).</w:t>
      </w:r>
    </w:p>
    <w:p>
      <w:pPr>
        <w:spacing w:after="50"/>
        <w:ind w:left="259" w:hanging="173"/>
      </w:pPr>
      <w:r>
        <w:rPr>
          <w:b/>
        </w:rPr>
        <w:t xml:space="preserve">• </w:t>
      </w:r>
      <w:r>
        <w:t>EYFS statutory framework for group and school-based providers, effective 1 September 2026.</w:t>
      </w:r>
    </w:p>
    <w:p>
      <w:pPr>
        <w:spacing w:after="50"/>
        <w:ind w:left="259" w:hanging="173"/>
      </w:pPr>
      <w:r>
        <w:rPr>
          <w:b/>
        </w:rPr>
        <w:t xml:space="preserve">• </w:t>
      </w:r>
      <w:r>
        <w:t>DfE Help for Early Years Providers: Screen use (July 2026).</w:t>
      </w:r>
    </w:p>
    <w:p>
      <w:pPr>
        <w:spacing w:after="50"/>
        <w:ind w:left="259" w:hanging="173"/>
      </w:pPr>
      <w:r>
        <w:rPr>
          <w:b/>
        </w:rPr>
        <w:t xml:space="preserve">• </w:t>
      </w:r>
      <w:r>
        <w:t>Equality Act 2010.</w:t>
      </w:r>
    </w:p>
    <w:p>
      <w:pPr>
        <w:spacing w:after="50"/>
        <w:ind w:left="259" w:hanging="173"/>
      </w:pPr>
      <w:r>
        <w:rPr>
          <w:b/>
        </w:rPr>
        <w:t xml:space="preserve">• </w:t>
      </w:r>
      <w:r>
        <w:t>Relevant company safeguarding, health and safety and risk-assessment arrangements.</w:t>
      </w:r>
    </w:p>
    <w:p>
      <w:pPr>
        <w:spacing w:before="140" w:after="60"/>
      </w:pPr>
      <w:r>
        <w:rPr>
          <w:b/>
          <w:color w:val="193A63"/>
          <w:sz w:val="28"/>
        </w:rPr>
        <w:t>17. Adoption and review</w:t>
      </w:r>
    </w:p>
    <w:p>
      <w:pPr>
        <w:spacing w:after="80" w:line="247" w:lineRule="auto"/>
      </w:pPr>
      <w:r>
        <w:t>This policy is approved as a single company-wide controlled policy. Site managers and Persons in Charge must ensure that staff understand the company’s playwork approach and that local routines, environments and risk assessments do not unnecessarily restrict children’s opportunities to play. The policy is reviewed at least annually and sooner where legislation, guidance, inspection findings, significant incidents or service changes require it.</w:t>
      </w:r>
    </w:p>
    <w:sectPr w:rsidR="00FC693F" w:rsidRPr="0006063C" w:rsidSect="00034616">
      <w:headerReference w:type="default" r:id="rId9"/>
      <w:footerReference w:type="default" r:id="rId10"/>
      <w:pgSz w:w="12240" w:h="15840"/>
      <w:pgMar w:top="792" w:right="979" w:bottom="835" w:left="979" w:header="36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5"/>
      </w:rPr>
      <w:t xml:space="preserve">Effective 1 September 2026 | Review September 2027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3577B7"/>
        <w:sz w:val="16"/>
      </w:rPr>
      <w:t>The Lil Rascals | Company-wide PLAY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